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12" w:rsidRDefault="00345647">
      <w:pPr>
        <w:spacing w:before="13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position w:val="2"/>
          <w:sz w:val="28"/>
          <w:szCs w:val="28"/>
          <w:rtl/>
          <w:lang w:val="en-US" w:eastAsia="en-US"/>
        </w:rPr>
        <w:t>بِسْمِ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اللّٰهِ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الرَّحْمٰنِ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الرَّحِيمِ</w:t>
      </w:r>
    </w:p>
    <w:p w:rsidR="00600B12" w:rsidRDefault="00345647">
      <w:pPr>
        <w:spacing w:before="13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وَ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بِهِ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نَسْتَعِينُ</w:t>
      </w:r>
    </w:p>
    <w:p w:rsidR="00600B12" w:rsidRDefault="00345647">
      <w:pPr>
        <w:spacing w:before="13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اَلْحَمْدُ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لِلّٰهِ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رَبِّ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الْعَالَمِينَ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وَ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الصَّلاَةُ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وَ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السَّلاَمُ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عَلَى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سَيِّدِنَا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مُحَمَّدٍ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وَ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عَلَى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آلِهِ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وَ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صَحْبِهِ</w:t>
      </w:r>
      <w:r>
        <w:rPr>
          <w:rFonts w:ascii="Calibri" w:eastAsia="Calibri" w:hAnsi="Calibri" w:cs="Calibri"/>
          <w:color w:val="FF0000"/>
          <w:sz w:val="28"/>
          <w:szCs w:val="28"/>
          <w:rtl/>
          <w:lang w:val="en-US" w:eastAsia="en-US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val="en-US" w:eastAsia="en-US"/>
        </w:rPr>
        <w:t>اَجْمَعِينَ</w:t>
      </w:r>
    </w:p>
    <w:p w:rsidR="00600B12" w:rsidRDefault="00345647">
      <w:pPr>
        <w:spacing w:before="130"/>
        <w:jc w:val="center"/>
        <w:rPr>
          <w:rFonts w:ascii="Calibri" w:hAnsi="Calibri" w:cs="Calibri"/>
          <w:color w:val="0000B0"/>
        </w:rPr>
      </w:pPr>
      <w:bookmarkStart w:id="0" w:name="__DdeLink__4134_1928488642"/>
      <w:r>
        <w:rPr>
          <w:rFonts w:ascii="Calibri" w:hAnsi="Calibri" w:cs="Calibri"/>
          <w:color w:val="0000B0"/>
          <w:sz w:val="28"/>
          <w:szCs w:val="28"/>
        </w:rPr>
        <w:t>RİSALE-İ NUR CEVA</w:t>
      </w:r>
      <w:r w:rsidR="007533F8">
        <w:rPr>
          <w:rFonts w:ascii="Calibri" w:hAnsi="Calibri" w:cs="Calibri"/>
          <w:color w:val="0000B0"/>
          <w:sz w:val="28"/>
          <w:szCs w:val="28"/>
        </w:rPr>
        <w:t>B</w:t>
      </w:r>
      <w:bookmarkStart w:id="1" w:name="_GoBack"/>
      <w:bookmarkEnd w:id="1"/>
      <w:r>
        <w:rPr>
          <w:rFonts w:ascii="Calibri" w:hAnsi="Calibri" w:cs="Calibri"/>
          <w:color w:val="0000B0"/>
          <w:sz w:val="28"/>
          <w:szCs w:val="28"/>
        </w:rPr>
        <w:t xml:space="preserve"> VERİYOR</w:t>
      </w:r>
      <w:bookmarkStart w:id="2" w:name="__DdeLink__5136_1928488642"/>
      <w:bookmarkStart w:id="3" w:name="__DdeLink__3900_1928488642"/>
      <w:bookmarkEnd w:id="0"/>
      <w:bookmarkEnd w:id="2"/>
      <w:bookmarkEnd w:id="3"/>
      <w:r>
        <w:rPr>
          <w:rStyle w:val="DipnotSabitleyicisi"/>
          <w:rFonts w:ascii="Calibri" w:hAnsi="Calibri" w:cs="Calibri"/>
          <w:color w:val="0000B0"/>
          <w:sz w:val="28"/>
          <w:szCs w:val="28"/>
        </w:rPr>
        <w:footnoteReference w:id="1"/>
      </w:r>
      <w:r>
        <w:rPr>
          <w:rFonts w:ascii="Calibri" w:hAnsi="Calibri" w:cs="Calibri"/>
          <w:color w:val="0000B0"/>
        </w:rPr>
        <w:t xml:space="preserve"> </w:t>
      </w:r>
    </w:p>
    <w:p w:rsidR="00600B12" w:rsidRDefault="00345647">
      <w:pPr>
        <w:spacing w:before="130"/>
        <w:jc w:val="center"/>
        <w:rPr>
          <w:rFonts w:ascii="Calibri" w:hAnsi="Calibri" w:cs="Calibri"/>
          <w:color w:val="0000B0"/>
        </w:rPr>
      </w:pPr>
      <w:r>
        <w:rPr>
          <w:rFonts w:ascii="Calibri" w:hAnsi="Calibri" w:cs="Calibri"/>
          <w:color w:val="0000B0"/>
        </w:rPr>
        <w:t>NASLARI YORUMLAMAK!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İlmî </w:t>
      </w:r>
      <w:r>
        <w:rPr>
          <w:rFonts w:ascii="Calibri" w:hAnsi="Calibri" w:cs="Calibri"/>
        </w:rPr>
        <w:t>ölçüler içinde ve insaf dairesinde olmak üzere, bazı gazete ve televizyonlarda</w:t>
      </w:r>
      <w:r>
        <w:rPr>
          <w:rFonts w:ascii="Calibri" w:hAnsi="Calibri" w:cs="Calibri"/>
        </w:rPr>
        <w:t xml:space="preserve"> (bu tarih 1995 yıllarıdır, gazeteler ise, Sabah, Hürriyet, Zaman’dır.)</w:t>
      </w:r>
      <w:r>
        <w:rPr>
          <w:rFonts w:ascii="Calibri" w:hAnsi="Calibri" w:cs="Calibri"/>
        </w:rPr>
        <w:t xml:space="preserve"> hayli şa’şalandırarak öne sürülen dine ait bazı anlayışların çok az bir kısmını ele alıp Risale-i Nurlarda</w:t>
      </w:r>
      <w:r>
        <w:rPr>
          <w:rFonts w:ascii="Calibri" w:hAnsi="Calibri" w:cs="Calibri"/>
        </w:rPr>
        <w:t xml:space="preserve">ki beyanlarla mukayeselerini nazara vereceğiz. 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Ortaya atılan fikirlerden birisi: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“Bazıları Kitap ve Sünnetin nasslarını olduğu gibi getirir hayata hakim kılarsanız, meselenin evrenselliği adına çok önemli bir adım atmış olursunuz kanaatini taşıyorlar. Tab</w:t>
      </w:r>
      <w:r>
        <w:rPr>
          <w:rFonts w:ascii="Calibri" w:hAnsi="Calibri" w:cs="Calibri"/>
        </w:rPr>
        <w:t>ii bu mümkün değil. Çünkü Kur’an ve Sünnet ile belirlenmiş nassları yorumlayacak mantığı beraber getirmediğiniz takdirde, İslâm’a evrensellik kazandıramazsınız.”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Cevap:</w:t>
      </w:r>
      <w:r>
        <w:rPr>
          <w:rFonts w:ascii="Calibri" w:hAnsi="Calibri" w:cs="Calibri"/>
        </w:rPr>
        <w:t xml:space="preserve"> Kur’an ve Sünnetin nasslarını, yani Kitap ve Hadislerin kesin ve açık hükümlerini, mant</w:t>
      </w:r>
      <w:r>
        <w:rPr>
          <w:rFonts w:ascii="Calibri" w:hAnsi="Calibri" w:cs="Calibri"/>
        </w:rPr>
        <w:t xml:space="preserve">ıkla ele alıp İslâm’a evrensellik kazandırmak fikriyle açılacak kapıdan ilk girecek olanlar “ulema-üs sû'” denilen bid’at ehilleri değil de kim olacaktır. </w:t>
      </w:r>
      <w:r>
        <w:rPr>
          <w:rFonts w:ascii="Calibri" w:hAnsi="Calibri" w:cs="Calibri"/>
          <w:i/>
          <w:iCs/>
        </w:rPr>
        <w:t>(Bakınız: İslam Prensipleri Ansiklopedisi Ulema-üs sû' maddesi)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Mezkûr ifadede “Nass”lar denildiğine </w:t>
      </w:r>
      <w:r>
        <w:rPr>
          <w:rFonts w:ascii="Calibri" w:hAnsi="Calibri" w:cs="Calibri"/>
        </w:rPr>
        <w:t xml:space="preserve">göre ortaya konacak meselenin füruattan ve içtihadî meselelerden olmadığı anlaşılıyor. Buna göre, mantıkla ele alınacak meseleden Nass’ların getirdiği, Şeri’atın kesin ve kat’i hükümleri kastediliyorsa, </w:t>
      </w:r>
      <w:r>
        <w:rPr>
          <w:rFonts w:ascii="Calibri" w:hAnsi="Calibri" w:cs="Calibri"/>
          <w:b/>
        </w:rPr>
        <w:t>“Mevrid-i nasda içtihada mesağ yoktur.”</w:t>
      </w:r>
      <w:r>
        <w:rPr>
          <w:rFonts w:ascii="Calibri" w:hAnsi="Calibri" w:cs="Calibri"/>
        </w:rPr>
        <w:t xml:space="preserve"> külli kaidesi</w:t>
      </w:r>
      <w:r>
        <w:rPr>
          <w:rFonts w:ascii="Calibri" w:hAnsi="Calibri" w:cs="Calibri"/>
        </w:rPr>
        <w:t>ne tamamen ters düşmektir. Eğer Nass’lara dokunulmayıp da onlardaki fikir ve hikmet cihetleri kastediliyorsa; bu bir Müceddidiyet vazifesidir ki, Risale-i Nur bu vazifeyi yapmış ve daha da yapacaktır.</w:t>
      </w:r>
      <w:r>
        <w:rPr>
          <w:rFonts w:ascii="Calibri" w:hAnsi="Calibri" w:cs="Calibri"/>
          <w:i/>
          <w:iCs/>
        </w:rPr>
        <w:t>(Bakınız: Füruat derlemesi)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Bediüzzaman Hazretlerinin ta</w:t>
      </w:r>
      <w:r>
        <w:rPr>
          <w:rFonts w:ascii="Calibri" w:hAnsi="Calibri" w:cs="Calibri"/>
        </w:rPr>
        <w:t>shih ettiği ve sağlığında neşredilen Tarihçe-i Hayatta deniliyor ki: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«Bediüzzaman Said Nursî, ondördüncü asr-ı Muhammedî'nin ve yirminci asr-ı milâdînin minaresinin tepesinde durup, muasırları olan ehl-i İslâm ve insaniyete bağırıyor ve bu asrın arkasında </w:t>
      </w:r>
      <w:r>
        <w:rPr>
          <w:rFonts w:ascii="Calibri" w:hAnsi="Calibri" w:cs="Calibri"/>
        </w:rPr>
        <w:t xml:space="preserve">dizilmişve müstakbel sıralarında saf tutmuş olan nesl-i âti ile bir mürşid-i azam, bir müceddid-i ekber olarak konuşuyor…» </w:t>
      </w:r>
      <w:r>
        <w:rPr>
          <w:rFonts w:ascii="Calibri" w:hAnsi="Calibri" w:cs="Calibri"/>
          <w:b/>
        </w:rPr>
        <w:t>(T:159)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«Merhum Mehmed Âkif'in: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Doğrudan doğruya Kur'an'dan alıp ilhamı,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Asrın idrakine söyletmeliyiz İslâmı.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beytiyle ifade ettiği i</w:t>
      </w:r>
      <w:r>
        <w:rPr>
          <w:rFonts w:ascii="Calibri" w:hAnsi="Calibri" w:cs="Calibri"/>
        </w:rPr>
        <w:t xml:space="preserve">dealini tahakkuk ettirmek, Bediüzzaman'a müyesser olmuştur.» </w:t>
      </w:r>
      <w:r>
        <w:rPr>
          <w:rFonts w:ascii="Calibri" w:hAnsi="Calibri" w:cs="Calibri"/>
          <w:b/>
        </w:rPr>
        <w:t>(T:161)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Risale-i Nur’un nazara verilen meziyetleri ve bu düşünceler Nur Camiasının ortak kabulüdür.</w:t>
      </w:r>
    </w:p>
    <w:p w:rsidR="00600B12" w:rsidRDefault="00345647">
      <w:pPr>
        <w:spacing w:before="130"/>
        <w:jc w:val="center"/>
        <w:rPr>
          <w:rFonts w:ascii="Calibri" w:hAnsi="Calibri" w:cs="Calibri"/>
          <w:color w:val="0000B0"/>
        </w:rPr>
      </w:pPr>
      <w:r>
        <w:rPr>
          <w:rFonts w:ascii="Calibri" w:hAnsi="Calibri" w:cs="Calibri"/>
          <w:color w:val="0000B0"/>
        </w:rPr>
        <w:t>ÇARE YENİ MÜCTEHİDLER Mİ?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Bir başka ileri sürülen görüş de şöyledir: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“</w:t>
      </w:r>
      <w:r>
        <w:rPr>
          <w:rFonts w:ascii="Calibri" w:hAnsi="Calibri" w:cs="Calibri"/>
          <w:b/>
          <w:u w:val="single"/>
        </w:rPr>
        <w:t xml:space="preserve">Yeni Ebu Hanife’leriniz, </w:t>
      </w:r>
      <w:r>
        <w:rPr>
          <w:rFonts w:ascii="Calibri" w:hAnsi="Calibri" w:cs="Calibri"/>
          <w:b/>
          <w:u w:val="single"/>
        </w:rPr>
        <w:t>Merginani’leriniz yetişmemişse, toplum olarak Osmanlılar gibi gerçekten bi işe açık değilseniz bir yere ulaşmayı düşünmeniz hayaldir.”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 iddiaya göre günümüzün menfi ve bid’atkâr şartları göz önüne alınmadan, </w:t>
      </w:r>
      <w:r>
        <w:rPr>
          <w:rFonts w:ascii="Calibri" w:hAnsi="Calibri" w:cs="Calibri"/>
          <w:b/>
        </w:rPr>
        <w:t>İmam-ı Azam Ebu Hanife Hazretleri</w:t>
      </w:r>
      <w:r>
        <w:rPr>
          <w:rFonts w:ascii="Calibri" w:hAnsi="Calibri" w:cs="Calibri"/>
        </w:rPr>
        <w:t xml:space="preserve"> gibi müçtehi</w:t>
      </w:r>
      <w:r>
        <w:rPr>
          <w:rFonts w:ascii="Calibri" w:hAnsi="Calibri" w:cs="Calibri"/>
        </w:rPr>
        <w:t xml:space="preserve">din-i izam imamlarına yetişebileceği, zemin ve zamanın buna müsaid olduğu manası verilmek isteniyor. Halbuki ileri sürülen bu iddia Risale-i Nur’un </w:t>
      </w:r>
      <w:r>
        <w:rPr>
          <w:rFonts w:ascii="Calibri" w:hAnsi="Calibri" w:cs="Calibri"/>
          <w:b/>
        </w:rPr>
        <w:t>“Yirmiyedinci Söz Risalesi”</w:t>
      </w:r>
      <w:r>
        <w:rPr>
          <w:rFonts w:ascii="Calibri" w:hAnsi="Calibri" w:cs="Calibri"/>
        </w:rPr>
        <w:t xml:space="preserve"> olan </w:t>
      </w:r>
      <w:r>
        <w:rPr>
          <w:rFonts w:ascii="Calibri" w:hAnsi="Calibri" w:cs="Calibri"/>
          <w:b/>
        </w:rPr>
        <w:t>İçtihad Risalesi</w:t>
      </w:r>
      <w:r>
        <w:rPr>
          <w:rFonts w:ascii="Calibri" w:hAnsi="Calibri" w:cs="Calibri"/>
        </w:rPr>
        <w:t xml:space="preserve">’nin beyanlarına tamamen ters düştüğü gayet açık </w:t>
      </w:r>
      <w:r>
        <w:rPr>
          <w:rFonts w:ascii="Calibri" w:hAnsi="Calibri" w:cs="Calibri"/>
        </w:rPr>
        <w:t>olduğundan bu meseleyi o Risaleye havale ediyoruz. Burada yalnız bir kaç noktayı nazara vermek münasib düşmektedir. Şöyle ki: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Risale-i Nur Külliyatında ve özellikle “Beşinci Şua”da izah edilen ve rivayetlerde bildirilen fitnelerin en dehşetlisi, içinde bul</w:t>
      </w:r>
      <w:r>
        <w:rPr>
          <w:rFonts w:ascii="Calibri" w:hAnsi="Calibri" w:cs="Calibri"/>
        </w:rPr>
        <w:t>unduğumuz Âhirzaman Fitnesi olduğu bütün müslümanlarca bilinmektedir. Hadiste gelen “Duhan” rivayetinin mana genişliği bu bozuk cemiyetin durumuna da işaret eder.</w:t>
      </w:r>
      <w:r>
        <w:rPr>
          <w:rFonts w:ascii="Calibri" w:hAnsi="Calibri" w:cs="Calibri"/>
          <w:i/>
          <w:iCs/>
        </w:rPr>
        <w:t>(Bakınız: Duhan derlemesi)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Risale-i Nur Külliyatında gösterilen çare olarak, İttihad-ı İslâm’ı</w:t>
      </w:r>
      <w:r>
        <w:rPr>
          <w:rFonts w:ascii="Calibri" w:hAnsi="Calibri" w:cs="Calibri"/>
        </w:rPr>
        <w:t>n yani hilafet-i İslâmiyenin tahakkuku gerekmektedir.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Sonra, bu kuvvetle bid’aların kaldırılması ve Şeair-i İslâmiyenin ihyası, canlandırılması ile cemiyetin manevi hayatının iadesi gerekmektedir.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Bundan sonradır ki, İslâm’ın ilim ve feyziyle millî ve içti</w:t>
      </w:r>
      <w:r>
        <w:rPr>
          <w:rFonts w:ascii="Calibri" w:hAnsi="Calibri" w:cs="Calibri"/>
        </w:rPr>
        <w:t>maî bünyede, yani geniş dairede talim ve terbiye zemini hasıl olur, müstaidlerin istidadları, kabiliyetleri ihsan-ı İlahî ile gelişir ve dinî şahsiyetlerin yetişmesi zemini açılır. İnşaallah.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Herşeyin kendine has fıtrî gelişme kanunu ve şartları, bu kanunl</w:t>
      </w:r>
      <w:r>
        <w:rPr>
          <w:rFonts w:ascii="Calibri" w:hAnsi="Calibri" w:cs="Calibri"/>
        </w:rPr>
        <w:t>ara ve şartlara riayetle yapılan fiili duası vardır. Risale-i Nur’da nazara verilen “dar ve geniş daire, keyfiyyet ve kemmiyyet” gibi tabirler bu manaya da bakar. Yani kemalat-ı vicdaniye sahibi zatlar için müsbet cemiyet şarttır.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Bediüzzaman Hazretleri di</w:t>
      </w:r>
      <w:r>
        <w:rPr>
          <w:rFonts w:ascii="Calibri" w:hAnsi="Calibri" w:cs="Calibri"/>
        </w:rPr>
        <w:t>yor ki: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«Fıtrat-ı insan bir mezraa hükmündedir ki, </w:t>
      </w:r>
      <w:r>
        <w:rPr>
          <w:rFonts w:ascii="Calibri" w:hAnsi="Calibri" w:cs="Calibri"/>
          <w:b/>
        </w:rPr>
        <w:t>secaya-yı hasene temayülat-ı şerriye ile beraber, taneler gibi dest-i kaderle içinde ekilmiştir.</w:t>
      </w:r>
      <w:r>
        <w:rPr>
          <w:rFonts w:ascii="Calibri" w:hAnsi="Calibri" w:cs="Calibri"/>
        </w:rPr>
        <w:t xml:space="preserve"> Bu taneler neşv-ü nema bulmak için bir suya muhtaçtır. </w:t>
      </w:r>
      <w:r>
        <w:rPr>
          <w:rFonts w:ascii="Calibri" w:hAnsi="Calibri" w:cs="Calibri"/>
          <w:b/>
        </w:rPr>
        <w:t>Hevadan gelse, şer taneleri neşv-ü nema bulur. ﬁimdik</w:t>
      </w:r>
      <w:r>
        <w:rPr>
          <w:rFonts w:ascii="Calibri" w:hAnsi="Calibri" w:cs="Calibri"/>
          <w:b/>
        </w:rPr>
        <w:t>i şu medeniyet-i habisenin heyet-i içtimaiyeye verdiği tesir gibi...</w:t>
      </w:r>
      <w:r>
        <w:rPr>
          <w:rFonts w:ascii="Calibri" w:hAnsi="Calibri" w:cs="Calibri"/>
        </w:rPr>
        <w:t xml:space="preserve"> Fıtraten -çendan- hayır ciheti galibdir, fakat sünbüllenmiş, semere vermişon çekirdek, yüz değil bin kurumuşçekirdeğe galebe eder. İşte şunun çaresi: O bâb-ı fitneyi kapatmakla, suyu Hüda</w:t>
      </w:r>
      <w:r>
        <w:rPr>
          <w:rFonts w:ascii="Calibri" w:hAnsi="Calibri" w:cs="Calibri"/>
        </w:rPr>
        <w:t xml:space="preserve"> tarafından vermek lâzımdır.» </w:t>
      </w:r>
      <w:r>
        <w:rPr>
          <w:rFonts w:ascii="Calibri" w:hAnsi="Calibri" w:cs="Calibri"/>
          <w:b/>
        </w:rPr>
        <w:t>(STİ:87)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 ilmî hakikatın tafsilatı, Yirmiüçüncü Söz’ün İkinci Mebhası’nın İkinci Nüktesinde vardır. İsteyenler oraya bakabilir.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 bozuk cemiyet hayatının düzeltilmesi için siyasileri ikaz eden Bediüzzaman </w:t>
      </w:r>
      <w:r>
        <w:rPr>
          <w:rFonts w:ascii="Calibri" w:hAnsi="Calibri" w:cs="Calibri"/>
        </w:rPr>
        <w:t>Hazretleri ikaz yazısının bir kısmında diyor ki: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«Evet hürriyetçilerin </w:t>
      </w:r>
      <w:r>
        <w:rPr>
          <w:rFonts w:ascii="Calibri" w:hAnsi="Calibri" w:cs="Calibri"/>
          <w:b/>
        </w:rPr>
        <w:t>ahlâk-ı içtimaiyede ve dinde ve seciye-i milliyede bir derece lâübalilik göstermeleriyle,</w:t>
      </w:r>
      <w:r>
        <w:rPr>
          <w:rFonts w:ascii="Calibri" w:hAnsi="Calibri" w:cs="Calibri"/>
        </w:rPr>
        <w:t xml:space="preserve"> yirmi-otuz sene sonra dince, ahlâkça, namusça şimdiki vaziyeti gösterdiği cihetinden; şimdiki v</w:t>
      </w:r>
      <w:r>
        <w:rPr>
          <w:rFonts w:ascii="Calibri" w:hAnsi="Calibri" w:cs="Calibri"/>
        </w:rPr>
        <w:t xml:space="preserve">aziyette de, </w:t>
      </w:r>
      <w:r>
        <w:rPr>
          <w:rFonts w:ascii="Calibri" w:hAnsi="Calibri" w:cs="Calibri"/>
          <w:b/>
        </w:rPr>
        <w:t>elli sene sonra</w:t>
      </w:r>
      <w:r>
        <w:rPr>
          <w:rFonts w:ascii="Calibri" w:hAnsi="Calibri" w:cs="Calibri"/>
        </w:rPr>
        <w:t xml:space="preserve"> bu dindar, namuskâr, kahraman seciyeli </w:t>
      </w:r>
      <w:r>
        <w:rPr>
          <w:rFonts w:ascii="Calibri" w:hAnsi="Calibri" w:cs="Calibri"/>
          <w:b/>
        </w:rPr>
        <w:t>milletin nesl-i âtîsi, seciye-i diniye ve ahlâk-ı içtimaiye cihetinde, ne şekle girecek</w:t>
      </w:r>
      <w:r>
        <w:rPr>
          <w:rFonts w:ascii="Calibri" w:hAnsi="Calibri" w:cs="Calibri"/>
        </w:rPr>
        <w:t xml:space="preserve"> elbette anlıyorsunuz.» </w:t>
      </w:r>
      <w:r>
        <w:rPr>
          <w:rFonts w:ascii="Calibri" w:hAnsi="Calibri" w:cs="Calibri"/>
          <w:b/>
        </w:rPr>
        <w:t>(E:21)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Yani dinî </w:t>
      </w:r>
      <w:r>
        <w:rPr>
          <w:rFonts w:ascii="Calibri" w:hAnsi="Calibri" w:cs="Calibri"/>
          <w:b/>
        </w:rPr>
        <w:t>Şeair</w:t>
      </w:r>
      <w:r>
        <w:rPr>
          <w:rFonts w:ascii="Calibri" w:hAnsi="Calibri" w:cs="Calibri"/>
        </w:rPr>
        <w:t xml:space="preserve">’e -yani cemiyette yaşanan İslâm hayatına- bedel, </w:t>
      </w:r>
      <w:r>
        <w:rPr>
          <w:rFonts w:ascii="Calibri" w:hAnsi="Calibri" w:cs="Calibri"/>
          <w:b/>
        </w:rPr>
        <w:t>Bid’a</w:t>
      </w:r>
      <w:r>
        <w:rPr>
          <w:rFonts w:ascii="Calibri" w:hAnsi="Calibri" w:cs="Calibri"/>
          <w:b/>
        </w:rPr>
        <w:t>t</w:t>
      </w:r>
      <w:r>
        <w:rPr>
          <w:rFonts w:ascii="Calibri" w:hAnsi="Calibri" w:cs="Calibri"/>
        </w:rPr>
        <w:t>ların -yani dine aykırı hayat tarzı- istilası ve yaygınlaşması, dehşetli bir millî ahlâk çöküntüsüne sebeb olacağı hatırlatılıyor.</w:t>
      </w:r>
      <w:r>
        <w:rPr>
          <w:rFonts w:ascii="Calibri" w:hAnsi="Calibri" w:cs="Calibri"/>
          <w:i/>
          <w:iCs/>
        </w:rPr>
        <w:t>(Bakınız: Şeair ve Bid’at derlemeleri)</w:t>
      </w:r>
    </w:p>
    <w:p w:rsidR="00600B12" w:rsidRDefault="00345647">
      <w:pPr>
        <w:spacing w:before="130"/>
        <w:jc w:val="center"/>
        <w:rPr>
          <w:rFonts w:ascii="Calibri" w:hAnsi="Calibri" w:cs="Calibri"/>
          <w:color w:val="0000B0"/>
        </w:rPr>
      </w:pPr>
      <w:r>
        <w:rPr>
          <w:rFonts w:ascii="Calibri" w:hAnsi="Calibri" w:cs="Calibri"/>
          <w:color w:val="0000B0"/>
        </w:rPr>
        <w:t>ZAMANIMIZDAKİ FİTNE VE BELÂLARIN ÇARESİ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Bediüzzaman Hazretlerinin diğer bir ikaz yazıs</w:t>
      </w:r>
      <w:r>
        <w:rPr>
          <w:rFonts w:ascii="Calibri" w:hAnsi="Calibri" w:cs="Calibri"/>
        </w:rPr>
        <w:t>ının bir bölümünde de bu ifsadın çaresi olarak aynen şöyledir: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«Eğer şimdi, eski zaman gibi kahramancasına Kur'an'a ve hakaik-i imana sahib çıkmazsanız ve sizler gibi ehl-i hamiyet, eskide yanlışbir surette ve din zararına medeniyetin propagandası yerinde </w:t>
      </w:r>
      <w:r>
        <w:rPr>
          <w:rFonts w:ascii="Calibri" w:hAnsi="Calibri" w:cs="Calibri"/>
        </w:rPr>
        <w:t>doğrudan doğruya hakaik-i Kur'aniye ve imaniyeyi tervice çalışmazsanız, size kat'iyen haber veriyorum ve kat'î hüccetlerle isbat ederim ki; âlem-i İslâmın muhabbet ve uhuvveti yerine, dehşetli bir nefret ve kahraman kardeşi ve kumandanı olan Türk milletine</w:t>
      </w:r>
      <w:r>
        <w:rPr>
          <w:rFonts w:ascii="Calibri" w:hAnsi="Calibri" w:cs="Calibri"/>
        </w:rPr>
        <w:t xml:space="preserve"> bir adavet ve şimdi âlem-i İslâmı mahva çalışan küfr-ü mutlak altındaki anarşiliğe mağlub olup, âlem-i İslâmın kal'ası ve şanlı ordusu olan bu Türk milletinin parça parça olmasına ve şark-ı şimalîden çıkan dehşetli ejderhanın istila etmesine sebebiyet ver</w:t>
      </w:r>
      <w:r>
        <w:rPr>
          <w:rFonts w:ascii="Calibri" w:hAnsi="Calibri" w:cs="Calibri"/>
        </w:rPr>
        <w:t xml:space="preserve">ecek.» </w:t>
      </w:r>
      <w:r>
        <w:rPr>
          <w:rFonts w:ascii="Calibri" w:hAnsi="Calibri" w:cs="Calibri"/>
          <w:b/>
        </w:rPr>
        <w:t>(E:218)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«Ehl-i imana hücum eden ehl-i dalalet, -bu asır cemaat zamanı olduğu cihetiyle- cem'iyet ve komitecilik mayesiyle bir şahs-ı manevî ve bir ruh-u habis olmuş, Müslüman âlemindeki vicdan-ı umumî ve kalb-i küllîyi bozuyor. Ve avamın taklidî ola</w:t>
      </w:r>
      <w:r>
        <w:rPr>
          <w:rFonts w:ascii="Calibri" w:hAnsi="Calibri" w:cs="Calibri"/>
        </w:rPr>
        <w:t>n itikadlarını himaye eden İslâmî perde-i ulviyeyi yırtıyor ve hayat-ı imaniyeyi yaşatan, an'ane ile gelen hissiyat-ı mütevâriseyi yandırıyor. Herbir müslüman tek başıyla bu dehşetli yangından kurtulmaya me'yusane çabalarken, Risale-i Nur Hızır gibi imdada</w:t>
      </w:r>
      <w:r>
        <w:rPr>
          <w:rFonts w:ascii="Calibri" w:hAnsi="Calibri" w:cs="Calibri"/>
        </w:rPr>
        <w:t xml:space="preserve"> yetişti.» </w:t>
      </w:r>
      <w:r>
        <w:rPr>
          <w:rFonts w:ascii="Calibri" w:hAnsi="Calibri" w:cs="Calibri"/>
          <w:b/>
        </w:rPr>
        <w:t>(K:55)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Hatta Bediüzzaman Hazretleri bir âyetin bu zamana bakan küllî manasından bir vechini izah ederken bu âyetin müstakîm olmak işaretinin şahsa değil esere baktığını beyan eder ve der ki: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«O istikametin bir hususiyeti var ki, tarihiyle işaret</w:t>
      </w:r>
      <w:r>
        <w:rPr>
          <w:rFonts w:ascii="Calibri" w:hAnsi="Calibri" w:cs="Calibri"/>
        </w:rPr>
        <w:t xml:space="preserve"> ediyor. Halbuki, o asırda şahsen istikamette mümtaz bir hususiyet kesbetmek çok uzaktır. Demek, şahsî istikamet değil. Öyle ise, o adamın teşebbüsüyle neşredilen esrar-ı Kur'aniye, o asırda istikamette imtiyaz kesbedecek. O adam şahsen gayr-ı müstakim old</w:t>
      </w:r>
      <w:r>
        <w:rPr>
          <w:rFonts w:ascii="Calibri" w:hAnsi="Calibri" w:cs="Calibri"/>
        </w:rPr>
        <w:t xml:space="preserve">uğu halde, müstakimler içine idhali, o imtiyaza remzeder.» </w:t>
      </w:r>
      <w:r>
        <w:rPr>
          <w:rFonts w:ascii="Calibri" w:hAnsi="Calibri" w:cs="Calibri"/>
          <w:b/>
        </w:rPr>
        <w:t>(STG:163)</w:t>
      </w:r>
    </w:p>
    <w:p w:rsidR="00600B12" w:rsidRDefault="00345647">
      <w:pPr>
        <w:spacing w:before="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İşte bu zamanda, yani İttihad-ı İslâm’ın hakimiyetinden önce içtihad kapısının açılmasından doğacak zararları izah eden İçtihad Risalesi, bu hakikatı tafsilatla nazara veriyor. O halde ci</w:t>
      </w:r>
      <w:r>
        <w:rPr>
          <w:rFonts w:ascii="Calibri" w:hAnsi="Calibri" w:cs="Calibri"/>
        </w:rPr>
        <w:t xml:space="preserve">ddiyetle ele alınacak vazife İttihad-ı İslâm’a çalışmaktır. Bu çalışmanın da şekli, Risale-i Nurdan derlenip yayınevimiz tarafından neşredilen </w:t>
      </w:r>
      <w:r>
        <w:rPr>
          <w:rFonts w:ascii="Calibri" w:hAnsi="Calibri" w:cs="Calibri"/>
          <w:i/>
          <w:iCs/>
        </w:rPr>
        <w:t xml:space="preserve">İttihad-ı İslâm </w:t>
      </w:r>
      <w:r>
        <w:rPr>
          <w:rFonts w:ascii="Calibri" w:hAnsi="Calibri" w:cs="Calibri"/>
        </w:rPr>
        <w:t>broşüründe bir nebze görülebilir.</w:t>
      </w:r>
    </w:p>
    <w:sectPr w:rsidR="00600B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47" w:rsidRDefault="00345647">
      <w:r>
        <w:separator/>
      </w:r>
    </w:p>
  </w:endnote>
  <w:endnote w:type="continuationSeparator" w:id="0">
    <w:p w:rsidR="00345647" w:rsidRDefault="0034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47" w:rsidRDefault="00345647">
      <w:r>
        <w:separator/>
      </w:r>
    </w:p>
  </w:footnote>
  <w:footnote w:type="continuationSeparator" w:id="0">
    <w:p w:rsidR="00345647" w:rsidRDefault="00345647">
      <w:r>
        <w:continuationSeparator/>
      </w:r>
    </w:p>
  </w:footnote>
  <w:footnote w:id="1">
    <w:p w:rsidR="00600B12" w:rsidRDefault="00345647">
      <w:pPr>
        <w:pStyle w:val="risale"/>
        <w:spacing w:before="120" w:line="240" w:lineRule="auto"/>
        <w:ind w:firstLine="0"/>
      </w:pPr>
      <w:r>
        <w:rPr>
          <w:rStyle w:val="DipnotKarakterleri"/>
        </w:rPr>
        <w:footnoteRef/>
      </w:r>
      <w:r>
        <w:rPr>
          <w:rFonts w:ascii="Calibri" w:hAnsi="Calibri" w:cs="Calibri"/>
          <w:i/>
          <w:iCs/>
        </w:rPr>
        <w:t xml:space="preserve">(Bakınız: Hakkın Müdâfaası </w:t>
      </w:r>
      <w:r>
        <w:rPr>
          <w:rFonts w:ascii="Calibri" w:hAnsi="Calibri" w:cs="Calibri"/>
          <w:i/>
          <w:iCs/>
        </w:rPr>
        <w:t>derlemesi)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12"/>
    <w:rsid w:val="00345647"/>
    <w:rsid w:val="00600B12"/>
    <w:rsid w:val="007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6DF8"/>
  <w15:docId w15:val="{160CF5F3-4E52-4445-A772-38D387D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risale">
    <w:name w:val="risale"/>
    <w:basedOn w:val="Normal"/>
    <w:qFormat/>
    <w:pPr>
      <w:spacing w:before="160" w:line="280" w:lineRule="atLeast"/>
      <w:ind w:firstLine="357"/>
      <w:jc w:val="both"/>
    </w:pPr>
    <w:rPr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Burak Sezgin</cp:lastModifiedBy>
  <cp:revision>6</cp:revision>
  <dcterms:created xsi:type="dcterms:W3CDTF">2019-10-27T22:17:00Z</dcterms:created>
  <dcterms:modified xsi:type="dcterms:W3CDTF">2019-11-23T19:59:00Z</dcterms:modified>
  <dc:language>tr-TR</dc:language>
</cp:coreProperties>
</file>